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23" w:rsidRDefault="00CF5700" w:rsidP="00CF5700">
      <w:pPr>
        <w:jc w:val="center"/>
        <w:rPr>
          <w:sz w:val="36"/>
          <w:szCs w:val="36"/>
        </w:rPr>
      </w:pPr>
      <w:r w:rsidRPr="00CF5700">
        <w:rPr>
          <w:sz w:val="36"/>
          <w:szCs w:val="36"/>
        </w:rPr>
        <w:t>Readings for Class of October 20, 2016</w:t>
      </w:r>
    </w:p>
    <w:p w:rsidR="00CF5700" w:rsidRDefault="00CF5700" w:rsidP="00281902">
      <w:pPr>
        <w:rPr>
          <w:sz w:val="24"/>
          <w:szCs w:val="24"/>
        </w:rPr>
      </w:pPr>
      <w:r>
        <w:rPr>
          <w:sz w:val="24"/>
          <w:szCs w:val="24"/>
        </w:rPr>
        <w:t xml:space="preserve">This week we should be able to finish our discussion of hypothesis testing and its development from the work of William </w:t>
      </w:r>
      <w:proofErr w:type="spellStart"/>
      <w:r>
        <w:rPr>
          <w:sz w:val="24"/>
          <w:szCs w:val="24"/>
        </w:rPr>
        <w:t>Gosset</w:t>
      </w:r>
      <w:proofErr w:type="spellEnd"/>
      <w:r>
        <w:rPr>
          <w:sz w:val="24"/>
          <w:szCs w:val="24"/>
        </w:rPr>
        <w:t xml:space="preserve"> to Robert Fisher</w:t>
      </w:r>
      <w:r w:rsidR="00281902">
        <w:rPr>
          <w:sz w:val="24"/>
          <w:szCs w:val="24"/>
        </w:rPr>
        <w:t>, Egan Pearson</w:t>
      </w:r>
      <w:r>
        <w:rPr>
          <w:sz w:val="24"/>
          <w:szCs w:val="24"/>
        </w:rPr>
        <w:t xml:space="preserve"> and Jerzy </w:t>
      </w:r>
      <w:proofErr w:type="spellStart"/>
      <w:r>
        <w:rPr>
          <w:sz w:val="24"/>
          <w:szCs w:val="24"/>
        </w:rPr>
        <w:t>Neyman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The first piece (</w:t>
      </w:r>
      <w:proofErr w:type="spellStart"/>
      <w:r w:rsidRPr="00281902">
        <w:rPr>
          <w:i/>
          <w:iCs/>
          <w:sz w:val="24"/>
          <w:szCs w:val="24"/>
        </w:rPr>
        <w:t>Guiness</w:t>
      </w:r>
      <w:proofErr w:type="spellEnd"/>
      <w:r w:rsidRPr="00281902">
        <w:rPr>
          <w:i/>
          <w:iCs/>
          <w:sz w:val="24"/>
          <w:szCs w:val="24"/>
        </w:rPr>
        <w:t xml:space="preserve">, </w:t>
      </w:r>
      <w:proofErr w:type="spellStart"/>
      <w:r w:rsidRPr="00281902">
        <w:rPr>
          <w:i/>
          <w:iCs/>
          <w:sz w:val="24"/>
          <w:szCs w:val="24"/>
        </w:rPr>
        <w:t>Gosset</w:t>
      </w:r>
      <w:proofErr w:type="spellEnd"/>
      <w:r w:rsidRPr="00281902">
        <w:rPr>
          <w:i/>
          <w:iCs/>
          <w:sz w:val="24"/>
          <w:szCs w:val="24"/>
        </w:rPr>
        <w:t>, Fisher, and Small Samples</w:t>
      </w:r>
      <w:r>
        <w:rPr>
          <w:sz w:val="24"/>
          <w:szCs w:val="24"/>
        </w:rPr>
        <w:t>)</w:t>
      </w:r>
      <w:r w:rsidR="00281902">
        <w:rPr>
          <w:sz w:val="24"/>
          <w:szCs w:val="24"/>
        </w:rPr>
        <w:t>.</w:t>
      </w:r>
      <w:proofErr w:type="gramEnd"/>
      <w:r w:rsidR="00281902">
        <w:rPr>
          <w:sz w:val="24"/>
          <w:szCs w:val="24"/>
        </w:rPr>
        <w:t xml:space="preserve">  It shows both the human and technical side of how we got where we are in statistics.  The math gets a little hairy, so feel free to just skim through those parts.  This won’t detract from the message.</w:t>
      </w:r>
    </w:p>
    <w:p w:rsidR="00281902" w:rsidRDefault="00281902" w:rsidP="00281902">
      <w:pPr>
        <w:rPr>
          <w:sz w:val="24"/>
          <w:szCs w:val="24"/>
        </w:rPr>
      </w:pPr>
      <w:r>
        <w:rPr>
          <w:sz w:val="24"/>
          <w:szCs w:val="24"/>
        </w:rPr>
        <w:t>The second piece (</w:t>
      </w:r>
      <w:r>
        <w:rPr>
          <w:i/>
          <w:iCs/>
          <w:sz w:val="24"/>
          <w:szCs w:val="24"/>
        </w:rPr>
        <w:t xml:space="preserve">The Fisher, </w:t>
      </w:r>
      <w:proofErr w:type="spellStart"/>
      <w:r>
        <w:rPr>
          <w:i/>
          <w:iCs/>
          <w:sz w:val="24"/>
          <w:szCs w:val="24"/>
        </w:rPr>
        <w:t>Neyman</w:t>
      </w:r>
      <w:proofErr w:type="spellEnd"/>
      <w:r>
        <w:rPr>
          <w:i/>
          <w:iCs/>
          <w:sz w:val="24"/>
          <w:szCs w:val="24"/>
        </w:rPr>
        <w:t>-Pearson Theories of Hypothesis Tests: One Theory or Two?</w:t>
      </w:r>
      <w:r>
        <w:rPr>
          <w:sz w:val="24"/>
          <w:szCs w:val="24"/>
        </w:rPr>
        <w:t xml:space="preserve">)   </w:t>
      </w:r>
      <w:proofErr w:type="gramStart"/>
      <w:r>
        <w:rPr>
          <w:sz w:val="24"/>
          <w:szCs w:val="24"/>
        </w:rPr>
        <w:t>Compares the two approaches better than I did in the rushed end of our last session.</w:t>
      </w:r>
      <w:proofErr w:type="gramEnd"/>
      <w:r>
        <w:rPr>
          <w:sz w:val="24"/>
          <w:szCs w:val="24"/>
        </w:rPr>
        <w:t xml:space="preserve">  Think about what we do now when we test hypotheses to get an idea how this argument was resolved.  Again, the </w:t>
      </w:r>
      <w:proofErr w:type="gramStart"/>
      <w:r>
        <w:rPr>
          <w:sz w:val="24"/>
          <w:szCs w:val="24"/>
        </w:rPr>
        <w:t>math gets a bit high-brow, but try</w:t>
      </w:r>
      <w:proofErr w:type="gramEnd"/>
      <w:r>
        <w:rPr>
          <w:sz w:val="24"/>
          <w:szCs w:val="24"/>
        </w:rPr>
        <w:t xml:space="preserve"> to read around this.  The ideas are pretty clear even without the math.</w:t>
      </w:r>
    </w:p>
    <w:p w:rsidR="00281902" w:rsidRPr="00281902" w:rsidRDefault="00746631" w:rsidP="00281902">
      <w:pPr>
        <w:rPr>
          <w:sz w:val="24"/>
          <w:szCs w:val="24"/>
        </w:rPr>
      </w:pPr>
      <w:r>
        <w:rPr>
          <w:sz w:val="24"/>
          <w:szCs w:val="24"/>
        </w:rPr>
        <w:t>LBB</w:t>
      </w:r>
      <w:bookmarkStart w:id="0" w:name="_GoBack"/>
      <w:bookmarkEnd w:id="0"/>
    </w:p>
    <w:p w:rsidR="00630B23" w:rsidRDefault="00630B2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8"/>
        <w:gridCol w:w="222"/>
        <w:gridCol w:w="222"/>
        <w:gridCol w:w="222"/>
        <w:gridCol w:w="222"/>
      </w:tblGrid>
      <w:tr w:rsidR="00630B23" w:rsidTr="00630B23">
        <w:tc>
          <w:tcPr>
            <w:tcW w:w="1915" w:type="dxa"/>
          </w:tcPr>
          <w:tbl>
            <w:tblPr>
              <w:tblW w:w="847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1"/>
            </w:tblGrid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-.310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.685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.794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-.221</w:t>
                  </w:r>
                </w:p>
              </w:tc>
            </w:tr>
          </w:tbl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6" w:type="dxa"/>
          </w:tcPr>
          <w:p w:rsidR="00630B23" w:rsidRDefault="00630B23"/>
        </w:tc>
      </w:tr>
      <w:tr w:rsidR="00630B23" w:rsidTr="00630B23">
        <w:tc>
          <w:tcPr>
            <w:tcW w:w="1915" w:type="dxa"/>
          </w:tcPr>
          <w:tbl>
            <w:tblPr>
              <w:tblW w:w="847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1"/>
            </w:tblGrid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-.310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.685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.794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-.221</w:t>
                  </w:r>
                </w:p>
              </w:tc>
            </w:tr>
          </w:tbl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6" w:type="dxa"/>
          </w:tcPr>
          <w:p w:rsidR="00630B23" w:rsidRDefault="00630B23"/>
        </w:tc>
      </w:tr>
      <w:tr w:rsidR="00630B23" w:rsidTr="00630B23">
        <w:tc>
          <w:tcPr>
            <w:tcW w:w="1915" w:type="dxa"/>
          </w:tcPr>
          <w:tbl>
            <w:tblPr>
              <w:tblW w:w="847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1"/>
            </w:tblGrid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-.310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.685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.794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-.221</w:t>
                  </w:r>
                </w:p>
              </w:tc>
            </w:tr>
          </w:tbl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6" w:type="dxa"/>
          </w:tcPr>
          <w:p w:rsidR="00630B23" w:rsidRDefault="00630B23"/>
        </w:tc>
      </w:tr>
      <w:tr w:rsidR="00630B23" w:rsidTr="00630B23">
        <w:tc>
          <w:tcPr>
            <w:tcW w:w="1915" w:type="dxa"/>
          </w:tcPr>
          <w:tbl>
            <w:tblPr>
              <w:tblW w:w="847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1"/>
            </w:tblGrid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-.310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.685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.794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-.221</w:t>
                  </w:r>
                </w:p>
              </w:tc>
            </w:tr>
          </w:tbl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6" w:type="dxa"/>
          </w:tcPr>
          <w:p w:rsidR="00630B23" w:rsidRDefault="00630B23"/>
        </w:tc>
      </w:tr>
      <w:tr w:rsidR="00630B23" w:rsidTr="00630B23">
        <w:tc>
          <w:tcPr>
            <w:tcW w:w="1915" w:type="dxa"/>
          </w:tcPr>
          <w:tbl>
            <w:tblPr>
              <w:tblW w:w="847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1"/>
            </w:tblGrid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-.310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.685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.794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-.221</w:t>
                  </w:r>
                </w:p>
              </w:tc>
            </w:tr>
          </w:tbl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6" w:type="dxa"/>
          </w:tcPr>
          <w:p w:rsidR="00630B23" w:rsidRDefault="00630B23"/>
        </w:tc>
      </w:tr>
    </w:tbl>
    <w:p w:rsidR="00B743E8" w:rsidRDefault="00B743E8"/>
    <w:sectPr w:rsidR="00B74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00"/>
    <w:rsid w:val="00281902"/>
    <w:rsid w:val="00630B23"/>
    <w:rsid w:val="00746631"/>
    <w:rsid w:val="00B743E8"/>
    <w:rsid w:val="00C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Berenard Bliss</dc:creator>
  <cp:lastModifiedBy>Leonard Berenard Bliss</cp:lastModifiedBy>
  <cp:revision>1</cp:revision>
  <dcterms:created xsi:type="dcterms:W3CDTF">2016-10-16T21:03:00Z</dcterms:created>
  <dcterms:modified xsi:type="dcterms:W3CDTF">2016-10-16T21:36:00Z</dcterms:modified>
</cp:coreProperties>
</file>