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587F" w14:textId="5EC5D02D" w:rsidR="00DC6947" w:rsidRDefault="00DC6947" w:rsidP="00DC6947">
      <w:pPr>
        <w:pStyle w:val="Title"/>
        <w:rPr>
          <w:b w:val="0"/>
          <w:bCs w:val="0"/>
        </w:rPr>
      </w:pPr>
      <w:r>
        <w:t>HIS 3051 (U02) Junior Seminar: Historical Approaches to Warfare</w:t>
      </w:r>
    </w:p>
    <w:p w14:paraId="4404E3F1" w14:textId="77777777" w:rsidR="00DC6947" w:rsidRDefault="00DC6947" w:rsidP="00DC6947">
      <w:pPr>
        <w:jc w:val="center"/>
        <w:rPr>
          <w:b/>
          <w:bCs/>
        </w:rPr>
      </w:pPr>
    </w:p>
    <w:p w14:paraId="0AA96C4C" w14:textId="324D99AA" w:rsidR="00DC6947" w:rsidRDefault="00DC6947" w:rsidP="00DC6947">
      <w:pPr>
        <w:jc w:val="center"/>
        <w:rPr>
          <w:b/>
        </w:rPr>
      </w:pPr>
      <w:r>
        <w:rPr>
          <w:b/>
        </w:rPr>
        <w:t>Course Outline - Spring 2020</w:t>
      </w:r>
    </w:p>
    <w:p w14:paraId="20AC47A0" w14:textId="77777777" w:rsidR="00DC6947" w:rsidRDefault="00DC6947" w:rsidP="00DC6947">
      <w:pPr>
        <w:jc w:val="center"/>
        <w:rPr>
          <w:b/>
        </w:rPr>
      </w:pPr>
    </w:p>
    <w:p w14:paraId="0C447874" w14:textId="77777777" w:rsidR="00DC6947" w:rsidRDefault="00DC6947" w:rsidP="00DC6947">
      <w:pPr>
        <w:rPr>
          <w:b/>
        </w:rPr>
      </w:pPr>
      <w:r>
        <w:t xml:space="preserve">Course Provider:  </w:t>
      </w:r>
      <w:r>
        <w:rPr>
          <w:b/>
        </w:rPr>
        <w:t>Prof. Gwyn Davies</w:t>
      </w:r>
    </w:p>
    <w:p w14:paraId="39CDBDE0" w14:textId="77777777" w:rsidR="00DC6947" w:rsidRDefault="00DC6947" w:rsidP="00DC6947">
      <w:pPr>
        <w:rPr>
          <w:b/>
        </w:rPr>
      </w:pPr>
      <w:r>
        <w:rPr>
          <w:b/>
        </w:rPr>
        <w:tab/>
      </w:r>
      <w:r>
        <w:rPr>
          <w:b/>
        </w:rPr>
        <w:tab/>
        <w:t xml:space="preserve">     DM 395A History Dept.  </w:t>
      </w:r>
    </w:p>
    <w:p w14:paraId="24FA1C02" w14:textId="77777777" w:rsidR="00DC6947" w:rsidRDefault="00DC6947" w:rsidP="00DC6947">
      <w:pPr>
        <w:ind w:left="1440"/>
        <w:rPr>
          <w:b/>
        </w:rPr>
      </w:pPr>
      <w:r>
        <w:rPr>
          <w:b/>
        </w:rPr>
        <w:t xml:space="preserve">     (Tel. 305 348 2974)</w:t>
      </w:r>
    </w:p>
    <w:p w14:paraId="2A114634" w14:textId="77777777" w:rsidR="00DC6947" w:rsidRDefault="00DC6947" w:rsidP="00DC6947">
      <w:pPr>
        <w:pStyle w:val="BodyText"/>
        <w:rPr>
          <w:b/>
        </w:rPr>
      </w:pPr>
      <w:r>
        <w:rPr>
          <w:b/>
        </w:rPr>
        <w:t xml:space="preserve">    </w:t>
      </w:r>
      <w:r>
        <w:rPr>
          <w:b/>
        </w:rPr>
        <w:tab/>
      </w:r>
      <w:r>
        <w:rPr>
          <w:b/>
        </w:rPr>
        <w:tab/>
        <w:t xml:space="preserve">     (e-mail – </w:t>
      </w:r>
      <w:proofErr w:type="gramStart"/>
      <w:r>
        <w:rPr>
          <w:b/>
          <w:color w:val="0000FF"/>
          <w:u w:val="single"/>
        </w:rPr>
        <w:t xml:space="preserve">daviesg@fiu.edu </w:t>
      </w:r>
      <w:r>
        <w:rPr>
          <w:b/>
        </w:rPr>
        <w:t>)</w:t>
      </w:r>
      <w:proofErr w:type="gramEnd"/>
    </w:p>
    <w:p w14:paraId="73BF0BAF" w14:textId="77777777" w:rsidR="00DC6947" w:rsidRDefault="00DC6947" w:rsidP="00DC6947">
      <w:pPr>
        <w:pStyle w:val="BodyText"/>
      </w:pPr>
    </w:p>
    <w:p w14:paraId="03302DC4" w14:textId="42302E23" w:rsidR="00DC6947" w:rsidRDefault="00DC6947" w:rsidP="00DC6947">
      <w:pPr>
        <w:pStyle w:val="BodyText"/>
      </w:pPr>
      <w:r>
        <w:t>Office Hours: Tuesday 17.00-18.00 and by appointment.</w:t>
      </w:r>
    </w:p>
    <w:p w14:paraId="6A586EF9" w14:textId="77777777" w:rsidR="00DC6947" w:rsidRDefault="00DC6947" w:rsidP="00DC6947">
      <w:pPr>
        <w:pStyle w:val="BodyText"/>
      </w:pPr>
    </w:p>
    <w:p w14:paraId="5DA63E31" w14:textId="78FB9C6D" w:rsidR="00DC6947" w:rsidRDefault="00DC6947" w:rsidP="00DC6947">
      <w:pPr>
        <w:pStyle w:val="BodyText"/>
      </w:pPr>
      <w:r>
        <w:t xml:space="preserve">In the course of this seminar, we will address how historians handle the subject of warfare and military history </w:t>
      </w:r>
      <w:proofErr w:type="spellStart"/>
      <w:r>
        <w:t>history</w:t>
      </w:r>
      <w:proofErr w:type="spellEnd"/>
      <w:r>
        <w:t xml:space="preserve"> so that by the end of the semester participants will be able to identify the main modes of war reportage and discussion.</w:t>
      </w:r>
    </w:p>
    <w:p w14:paraId="4DACD8AF" w14:textId="77777777" w:rsidR="00DC6947" w:rsidRDefault="00DC6947" w:rsidP="00DC6947">
      <w:pPr>
        <w:pStyle w:val="BodyText"/>
      </w:pPr>
    </w:p>
    <w:p w14:paraId="7B018737" w14:textId="4D66C364" w:rsidR="00DC6947" w:rsidRDefault="00DC6947" w:rsidP="00DC6947">
      <w:pPr>
        <w:pStyle w:val="BodyText"/>
      </w:pPr>
      <w:r>
        <w:rPr>
          <w:b/>
        </w:rPr>
        <w:t>Course Details</w:t>
      </w:r>
      <w:r>
        <w:t>:  HIS 3051 will be taught by means of one weekly seminar on Tuesdays, 14.00-16.45 in Room DM 370.  Attendance at class is compulsory and does not count as such towards the class participation grade (see below).  If you are unable to attend for any reason, please advise the course provider in advance.  Absenteeism is likely to mean that your grade will be adversely affected.</w:t>
      </w:r>
    </w:p>
    <w:p w14:paraId="04AD3A6D" w14:textId="77777777" w:rsidR="00DC6947" w:rsidRDefault="00DC6947" w:rsidP="00DC6947">
      <w:pPr>
        <w:pStyle w:val="BodyText"/>
      </w:pPr>
    </w:p>
    <w:p w14:paraId="4EB2197A" w14:textId="3F00D8C3" w:rsidR="00DC6947" w:rsidRDefault="00DC6947" w:rsidP="00DC6947">
      <w:pPr>
        <w:pStyle w:val="BodyText"/>
      </w:pPr>
      <w:r>
        <w:rPr>
          <w:b/>
        </w:rPr>
        <w:t>Course Assessment</w:t>
      </w:r>
      <w:r>
        <w:t xml:space="preserve">:  This course will be assessed by means of the following elements: </w:t>
      </w:r>
      <w:r>
        <w:rPr>
          <w:b/>
          <w:bCs/>
        </w:rPr>
        <w:t>1)</w:t>
      </w:r>
      <w:r>
        <w:t xml:space="preserve"> </w:t>
      </w:r>
      <w:r>
        <w:rPr>
          <w:b/>
          <w:bCs/>
        </w:rPr>
        <w:t>ONE assessed paper 3000 words</w:t>
      </w:r>
      <w:r>
        <w:t xml:space="preserve"> in length on a historiographical subject to be agreed individually between the student and the course provider (worth </w:t>
      </w:r>
      <w:r w:rsidR="00346174">
        <w:rPr>
          <w:b/>
          <w:bCs/>
        </w:rPr>
        <w:t>4</w:t>
      </w:r>
      <w:r>
        <w:rPr>
          <w:b/>
          <w:bCs/>
        </w:rPr>
        <w:t>0%</w:t>
      </w:r>
      <w:r>
        <w:t xml:space="preserve"> of the overall grade).  This paper should represent work of personal research where the student will be expected to demonstrate the initiative in locating and using relevant source materials (it is expected that students will make full use of inter-library loan services);  </w:t>
      </w:r>
      <w:r>
        <w:rPr>
          <w:b/>
          <w:bCs/>
        </w:rPr>
        <w:t>2)</w:t>
      </w:r>
      <w:r>
        <w:t xml:space="preserve"> a </w:t>
      </w:r>
      <w:r w:rsidRPr="003E1F78">
        <w:rPr>
          <w:b/>
        </w:rPr>
        <w:t>book review</w:t>
      </w:r>
      <w:r>
        <w:t xml:space="preserve"> (1,000 words) of a book agreed in advance with the course provider worth 20% (</w:t>
      </w:r>
      <w:r>
        <w:rPr>
          <w:b/>
          <w:bCs/>
        </w:rPr>
        <w:t>each student will be expected to make one formal presentation to the class on the subject of his/her book review</w:t>
      </w:r>
      <w:r>
        <w:t xml:space="preserve">; and </w:t>
      </w:r>
      <w:r w:rsidRPr="00DC6947">
        <w:rPr>
          <w:b/>
          <w:bCs/>
        </w:rPr>
        <w:t>3)</w:t>
      </w:r>
      <w:r>
        <w:t xml:space="preserve"> an assessment of (worthwhile!) </w:t>
      </w:r>
      <w:r w:rsidRPr="003E1F78">
        <w:rPr>
          <w:b/>
        </w:rPr>
        <w:t>class participation</w:t>
      </w:r>
      <w:r>
        <w:t xml:space="preserve"> representing the balancing </w:t>
      </w:r>
      <w:r w:rsidR="00346174">
        <w:t>4</w:t>
      </w:r>
      <w:r>
        <w:t>0% of the final grade.</w:t>
      </w:r>
      <w:r>
        <w:rPr>
          <w:b/>
          <w:bCs/>
        </w:rPr>
        <w:t xml:space="preserve"> This is a qualitative assessment so </w:t>
      </w:r>
      <w:r w:rsidR="007C0060">
        <w:rPr>
          <w:b/>
          <w:bCs/>
        </w:rPr>
        <w:t>your participation grade will depend on your making a sustained effort throughout the semester!</w:t>
      </w:r>
      <w:r>
        <w:rPr>
          <w:b/>
          <w:bCs/>
        </w:rPr>
        <w:t xml:space="preserve"> </w:t>
      </w:r>
      <w:r>
        <w:t xml:space="preserve">The failure to complete any of these component elements will result in the awarding of an automatic F grade for the </w:t>
      </w:r>
      <w:proofErr w:type="gramStart"/>
      <w:r>
        <w:t>course as a whole</w:t>
      </w:r>
      <w:proofErr w:type="gramEnd"/>
      <w:r>
        <w:t xml:space="preserve">.  The deadlines for essay submission/book reviews should be regarded as absolute.  Late submissions (defined as any work submitted to the course provider after 5pm on the due date) will be penalized with an automatic deduction of 5% per day (so, for example, if you hand in an essay 3 days late 15% will be subtracted from your grade).  NOTE: no work will be accepted for marking more than 7 days after the due date.  Requests for extensions based on legitimate medical/other grounds must be made in advance of the submission date and must be supported by appropriate documentation. Submissions must be </w:t>
      </w:r>
      <w:r w:rsidRPr="003E1F78">
        <w:t>BOTH</w:t>
      </w:r>
      <w:r>
        <w:t xml:space="preserve"> via hard copy AND Turnitin.com.  There will be NO opportunities for ‘make ups’ or ‘</w:t>
      </w:r>
      <w:proofErr w:type="gramStart"/>
      <w:r>
        <w:t>rewrites’</w:t>
      </w:r>
      <w:proofErr w:type="gramEnd"/>
      <w:r>
        <w:t xml:space="preserve">. The </w:t>
      </w:r>
      <w:r w:rsidRPr="00602EF1">
        <w:rPr>
          <w:highlight w:val="yellow"/>
        </w:rPr>
        <w:t>TURNITIN Course # is</w:t>
      </w:r>
      <w:r w:rsidRPr="00052C67">
        <w:rPr>
          <w:b/>
          <w:bCs/>
          <w:highlight w:val="yellow"/>
        </w:rPr>
        <w:t xml:space="preserve"> </w:t>
      </w:r>
      <w:r w:rsidR="00052C67" w:rsidRPr="00052C67">
        <w:rPr>
          <w:b/>
          <w:bCs/>
          <w:highlight w:val="yellow"/>
        </w:rPr>
        <w:t>23379607</w:t>
      </w:r>
      <w:r w:rsidR="00052C67">
        <w:rPr>
          <w:highlight w:val="yellow"/>
        </w:rPr>
        <w:t xml:space="preserve"> </w:t>
      </w:r>
      <w:r w:rsidRPr="00602EF1">
        <w:rPr>
          <w:highlight w:val="yellow"/>
        </w:rPr>
        <w:t xml:space="preserve">and the enrolment key is </w:t>
      </w:r>
      <w:proofErr w:type="spellStart"/>
      <w:r w:rsidRPr="00602EF1">
        <w:rPr>
          <w:b/>
          <w:bCs/>
          <w:highlight w:val="yellow"/>
        </w:rPr>
        <w:t>daviesg</w:t>
      </w:r>
      <w:proofErr w:type="spellEnd"/>
      <w:r>
        <w:t>.</w:t>
      </w:r>
    </w:p>
    <w:p w14:paraId="21597B4D" w14:textId="77777777" w:rsidR="00DC6947" w:rsidRPr="00602EF1" w:rsidRDefault="00DC6947" w:rsidP="00DC6947">
      <w:pPr>
        <w:pStyle w:val="BodyText"/>
      </w:pPr>
    </w:p>
    <w:p w14:paraId="3C71DBC8" w14:textId="77777777" w:rsidR="00DC6947" w:rsidRDefault="00DC6947" w:rsidP="00DC6947">
      <w:pPr>
        <w:pStyle w:val="BodyText"/>
        <w:rPr>
          <w:b/>
          <w:bCs/>
        </w:rPr>
      </w:pPr>
    </w:p>
    <w:p w14:paraId="77096BAF" w14:textId="7AF12BAF" w:rsidR="00DC6947" w:rsidRDefault="00DC6947" w:rsidP="00DC6947">
      <w:pPr>
        <w:pStyle w:val="BodyText"/>
        <w:rPr>
          <w:b/>
          <w:bCs/>
        </w:rPr>
      </w:pPr>
      <w:r>
        <w:rPr>
          <w:b/>
          <w:bCs/>
        </w:rPr>
        <w:lastRenderedPageBreak/>
        <w:t>Student outcomes</w:t>
      </w:r>
      <w:r w:rsidRPr="005970BF">
        <w:rPr>
          <w:bCs/>
        </w:rPr>
        <w:t>:</w:t>
      </w:r>
      <w:r>
        <w:rPr>
          <w:bCs/>
        </w:rPr>
        <w:t xml:space="preserve"> As a result of this seminar, participants will have a working understanding of </w:t>
      </w:r>
      <w:r w:rsidR="007C0060">
        <w:rPr>
          <w:bCs/>
        </w:rPr>
        <w:t>how historians approach the discipline of military history and will be able to situate texts within the appropriate historiographic tradition.  Students will also develop their skills in a seminar-based class and will be better equipped to deal with the senior seminar capstone class hereafter.</w:t>
      </w:r>
    </w:p>
    <w:p w14:paraId="3F750538" w14:textId="77777777" w:rsidR="00DC6947" w:rsidRDefault="00DC6947" w:rsidP="00DC6947">
      <w:pPr>
        <w:pStyle w:val="BodyText"/>
      </w:pPr>
    </w:p>
    <w:p w14:paraId="07561DDF" w14:textId="77777777" w:rsidR="00DC6947" w:rsidRDefault="00DC6947" w:rsidP="00DC6947">
      <w:pPr>
        <w:pStyle w:val="BodyText"/>
      </w:pPr>
      <w:r>
        <w:rPr>
          <w:b/>
        </w:rPr>
        <w:t>Plagiarism</w:t>
      </w:r>
      <w:r>
        <w:t>:  Written work should be properly referenced throughout.  Please ensure that you restrict yourself to the quotation where relevant of single sentences or short passages only.  Any work that is not the result of your own thought processes should be credited to the original source and any failure to observe this basic rule of academic discipline will be treated as plagiarism.  Any student undertaking plagiarism of this nature will receive an automatic FAIL and will be reported to the appropriate authorities for further sanctions that may include the option of expulsion.  Do not take a chance of copying another’s work…it is likely that you will be discovered and dealt with appropriately.</w:t>
      </w:r>
    </w:p>
    <w:p w14:paraId="0DC4B667" w14:textId="77777777" w:rsidR="00DC6947" w:rsidRDefault="00DC6947" w:rsidP="00DC6947">
      <w:pPr>
        <w:jc w:val="both"/>
      </w:pPr>
    </w:p>
    <w:p w14:paraId="4E963E58" w14:textId="465BE071" w:rsidR="00DC6947" w:rsidRDefault="00DC6947" w:rsidP="00DC6947">
      <w:pPr>
        <w:jc w:val="both"/>
      </w:pPr>
      <w:r>
        <w:rPr>
          <w:b/>
        </w:rPr>
        <w:t>Required Course Books</w:t>
      </w:r>
      <w:r>
        <w:t>:</w:t>
      </w:r>
    </w:p>
    <w:p w14:paraId="4DBE2B10" w14:textId="1386E0C1" w:rsidR="007C0060" w:rsidRDefault="007C0060" w:rsidP="00DC6947">
      <w:pPr>
        <w:jc w:val="both"/>
      </w:pPr>
    </w:p>
    <w:p w14:paraId="3868FAB8" w14:textId="4B1F7163" w:rsidR="007C0060" w:rsidRDefault="007C0060" w:rsidP="00DC6947">
      <w:pPr>
        <w:jc w:val="both"/>
      </w:pPr>
      <w:r>
        <w:t xml:space="preserve">Paul </w:t>
      </w:r>
      <w:proofErr w:type="spellStart"/>
      <w:r>
        <w:t>Fussell</w:t>
      </w:r>
      <w:proofErr w:type="spellEnd"/>
      <w:r>
        <w:t xml:space="preserve">, </w:t>
      </w:r>
      <w:r w:rsidR="00AD3EF2">
        <w:rPr>
          <w:i/>
          <w:iCs/>
        </w:rPr>
        <w:t>The Great War and Modern Memory - 25</w:t>
      </w:r>
      <w:r w:rsidR="00AD3EF2" w:rsidRPr="00AD3EF2">
        <w:rPr>
          <w:i/>
          <w:iCs/>
          <w:vertAlign w:val="superscript"/>
        </w:rPr>
        <w:t>th</w:t>
      </w:r>
      <w:r w:rsidR="00AD3EF2">
        <w:rPr>
          <w:i/>
          <w:iCs/>
        </w:rPr>
        <w:t xml:space="preserve"> </w:t>
      </w:r>
      <w:proofErr w:type="spellStart"/>
      <w:r w:rsidR="00AD3EF2">
        <w:rPr>
          <w:i/>
          <w:iCs/>
        </w:rPr>
        <w:t>Anniv</w:t>
      </w:r>
      <w:proofErr w:type="spellEnd"/>
      <w:r w:rsidR="00AD3EF2">
        <w:rPr>
          <w:i/>
          <w:iCs/>
        </w:rPr>
        <w:t xml:space="preserve">. Ed. </w:t>
      </w:r>
      <w:r w:rsidR="00AD3EF2">
        <w:t>(2000) ISBN 9780195133325</w:t>
      </w:r>
    </w:p>
    <w:p w14:paraId="104DB5D7" w14:textId="1045A88A" w:rsidR="00AD3EF2" w:rsidRDefault="00AD3EF2" w:rsidP="00DC6947">
      <w:pPr>
        <w:jc w:val="both"/>
      </w:pPr>
    </w:p>
    <w:p w14:paraId="5B5F68C8" w14:textId="3F8908E9" w:rsidR="00AD3EF2" w:rsidRPr="00AD3EF2" w:rsidRDefault="00AD3EF2" w:rsidP="00DC6947">
      <w:pPr>
        <w:jc w:val="both"/>
      </w:pPr>
      <w:r>
        <w:t xml:space="preserve">Alistair Horne, </w:t>
      </w:r>
      <w:r>
        <w:rPr>
          <w:i/>
          <w:iCs/>
        </w:rPr>
        <w:t>The Price of Glory</w:t>
      </w:r>
      <w:r>
        <w:t xml:space="preserve"> 1993 ed. (1994) ISBN </w:t>
      </w:r>
      <w:r w:rsidRPr="00AD3EF2">
        <w:rPr>
          <w:color w:val="201F1E"/>
          <w:shd w:val="clear" w:color="auto" w:fill="FFFFFF"/>
        </w:rPr>
        <w:t>9780140170412</w:t>
      </w:r>
    </w:p>
    <w:p w14:paraId="74E2A742" w14:textId="77777777" w:rsidR="00DC6947" w:rsidRDefault="00DC6947" w:rsidP="00DC6947">
      <w:pPr>
        <w:jc w:val="both"/>
      </w:pPr>
    </w:p>
    <w:p w14:paraId="58560B2C" w14:textId="75D26719" w:rsidR="00DC6947" w:rsidRDefault="007C0060" w:rsidP="00DC6947">
      <w:pPr>
        <w:jc w:val="both"/>
      </w:pPr>
      <w:r>
        <w:t xml:space="preserve">John Keegan, </w:t>
      </w:r>
      <w:r w:rsidRPr="007C0060">
        <w:rPr>
          <w:i/>
          <w:iCs/>
        </w:rPr>
        <w:t>The Face of Battle</w:t>
      </w:r>
      <w:r>
        <w:t xml:space="preserve"> (1976) ISBN 9780140048971</w:t>
      </w:r>
    </w:p>
    <w:p w14:paraId="23CA1BD3" w14:textId="1B9A3D4E" w:rsidR="007C0060" w:rsidRDefault="007C0060" w:rsidP="00DC6947">
      <w:pPr>
        <w:jc w:val="both"/>
      </w:pPr>
    </w:p>
    <w:p w14:paraId="072E900A" w14:textId="0727AC1D" w:rsidR="007C0060" w:rsidRDefault="007C0060" w:rsidP="00DC6947">
      <w:pPr>
        <w:jc w:val="both"/>
      </w:pPr>
      <w:r>
        <w:t xml:space="preserve">Cecil Lewis, </w:t>
      </w:r>
      <w:r w:rsidRPr="007C0060">
        <w:rPr>
          <w:i/>
          <w:iCs/>
        </w:rPr>
        <w:t>Sagittarius Rising</w:t>
      </w:r>
      <w:r>
        <w:t xml:space="preserve"> (2014) ISBN 9780143107347</w:t>
      </w:r>
    </w:p>
    <w:p w14:paraId="1802835E" w14:textId="337674C8" w:rsidR="00AD3EF2" w:rsidRDefault="00AD3EF2" w:rsidP="00DC6947">
      <w:pPr>
        <w:jc w:val="both"/>
      </w:pPr>
    </w:p>
    <w:p w14:paraId="626AE902" w14:textId="48A9D7EC" w:rsidR="00AD3EF2" w:rsidRDefault="00AD3EF2" w:rsidP="00DC6947">
      <w:pPr>
        <w:jc w:val="both"/>
        <w:rPr>
          <w:color w:val="201F1E"/>
          <w:shd w:val="clear" w:color="auto" w:fill="FFFFFF"/>
        </w:rPr>
      </w:pPr>
      <w:r>
        <w:t xml:space="preserve">Richard </w:t>
      </w:r>
      <w:proofErr w:type="spellStart"/>
      <w:r>
        <w:t>Overy</w:t>
      </w:r>
      <w:proofErr w:type="spellEnd"/>
      <w:r>
        <w:t xml:space="preserve">, </w:t>
      </w:r>
      <w:r>
        <w:rPr>
          <w:i/>
          <w:iCs/>
        </w:rPr>
        <w:t>The Countdown to War</w:t>
      </w:r>
      <w:r>
        <w:t xml:space="preserve"> (2011) </w:t>
      </w:r>
      <w:r w:rsidRPr="00AD3EF2">
        <w:t xml:space="preserve">ISBN </w:t>
      </w:r>
      <w:r w:rsidRPr="00AD3EF2">
        <w:rPr>
          <w:color w:val="201F1E"/>
          <w:shd w:val="clear" w:color="auto" w:fill="FFFFFF"/>
        </w:rPr>
        <w:t>9780143120063</w:t>
      </w:r>
    </w:p>
    <w:p w14:paraId="36CD61C9" w14:textId="002D28D3" w:rsidR="00AD3EF2" w:rsidRDefault="00AD3EF2" w:rsidP="00DC6947">
      <w:pPr>
        <w:jc w:val="both"/>
        <w:rPr>
          <w:color w:val="201F1E"/>
          <w:shd w:val="clear" w:color="auto" w:fill="FFFFFF"/>
        </w:rPr>
      </w:pPr>
    </w:p>
    <w:p w14:paraId="5F83E118" w14:textId="66243C0C" w:rsidR="00AD3EF2" w:rsidRDefault="00AD3EF2" w:rsidP="00DC6947">
      <w:pPr>
        <w:jc w:val="both"/>
        <w:rPr>
          <w:color w:val="201F1E"/>
          <w:shd w:val="clear" w:color="auto" w:fill="FFFFFF"/>
        </w:rPr>
      </w:pPr>
      <w:r>
        <w:rPr>
          <w:color w:val="201F1E"/>
          <w:shd w:val="clear" w:color="auto" w:fill="FFFFFF"/>
        </w:rPr>
        <w:t xml:space="preserve">Steven Runciman, </w:t>
      </w:r>
      <w:r>
        <w:rPr>
          <w:i/>
          <w:iCs/>
          <w:color w:val="201F1E"/>
          <w:shd w:val="clear" w:color="auto" w:fill="FFFFFF"/>
        </w:rPr>
        <w:t>The Fall of Constantinople</w:t>
      </w:r>
      <w:r w:rsidR="0054665E">
        <w:rPr>
          <w:color w:val="201F1E"/>
          <w:shd w:val="clear" w:color="auto" w:fill="FFFFFF"/>
        </w:rPr>
        <w:t xml:space="preserve">, </w:t>
      </w:r>
      <w:r w:rsidR="0054665E" w:rsidRPr="0054665E">
        <w:rPr>
          <w:i/>
          <w:iCs/>
          <w:color w:val="201F1E"/>
          <w:shd w:val="clear" w:color="auto" w:fill="FFFFFF"/>
        </w:rPr>
        <w:t>1453</w:t>
      </w:r>
      <w:r w:rsidR="0054665E">
        <w:rPr>
          <w:i/>
          <w:iCs/>
          <w:color w:val="201F1E"/>
          <w:shd w:val="clear" w:color="auto" w:fill="FFFFFF"/>
        </w:rPr>
        <w:t xml:space="preserve"> </w:t>
      </w:r>
      <w:r w:rsidR="0054665E">
        <w:rPr>
          <w:color w:val="201F1E"/>
          <w:shd w:val="clear" w:color="auto" w:fill="FFFFFF"/>
        </w:rPr>
        <w:t xml:space="preserve">(1990) ISBN </w:t>
      </w:r>
      <w:r w:rsidR="0054665E" w:rsidRPr="0054665E">
        <w:rPr>
          <w:color w:val="201F1E"/>
          <w:shd w:val="clear" w:color="auto" w:fill="FFFFFF"/>
        </w:rPr>
        <w:t>9780521</w:t>
      </w:r>
      <w:r w:rsidR="0054665E">
        <w:rPr>
          <w:color w:val="201F1E"/>
          <w:shd w:val="clear" w:color="auto" w:fill="FFFFFF"/>
        </w:rPr>
        <w:t>398329</w:t>
      </w:r>
    </w:p>
    <w:p w14:paraId="17207F63" w14:textId="54C3C970" w:rsidR="0054665E" w:rsidRDefault="0054665E" w:rsidP="00DC6947">
      <w:pPr>
        <w:jc w:val="both"/>
        <w:rPr>
          <w:color w:val="201F1E"/>
          <w:shd w:val="clear" w:color="auto" w:fill="FFFFFF"/>
        </w:rPr>
      </w:pPr>
    </w:p>
    <w:p w14:paraId="7613AAAC" w14:textId="064D9597" w:rsidR="0054665E" w:rsidRPr="0054665E" w:rsidRDefault="0054665E" w:rsidP="00DC6947">
      <w:pPr>
        <w:jc w:val="both"/>
        <w:rPr>
          <w:rFonts w:ascii="Arial" w:hAnsi="Arial" w:cs="Arial"/>
          <w:color w:val="201F1E"/>
          <w:sz w:val="20"/>
          <w:szCs w:val="20"/>
          <w:shd w:val="clear" w:color="auto" w:fill="FFFFFF"/>
        </w:rPr>
      </w:pPr>
      <w:r>
        <w:rPr>
          <w:color w:val="201F1E"/>
          <w:shd w:val="clear" w:color="auto" w:fill="FFFFFF"/>
        </w:rPr>
        <w:t xml:space="preserve">Eugene Sledge, </w:t>
      </w:r>
      <w:r>
        <w:rPr>
          <w:i/>
          <w:iCs/>
          <w:color w:val="201F1E"/>
          <w:shd w:val="clear" w:color="auto" w:fill="FFFFFF"/>
        </w:rPr>
        <w:t>With the Old Breed at Peleliu and Okinawa</w:t>
      </w:r>
      <w:r>
        <w:rPr>
          <w:color w:val="201F1E"/>
          <w:shd w:val="clear" w:color="auto" w:fill="FFFFFF"/>
        </w:rPr>
        <w:t xml:space="preserve"> (2007) ISBN </w:t>
      </w:r>
      <w:r w:rsidRPr="0054665E">
        <w:rPr>
          <w:color w:val="201F1E"/>
          <w:shd w:val="clear" w:color="auto" w:fill="FFFFFF"/>
        </w:rPr>
        <w:t>9780891419198</w:t>
      </w:r>
    </w:p>
    <w:p w14:paraId="18283ED1" w14:textId="5AFE9E0F" w:rsidR="00AD3EF2" w:rsidRDefault="00AD3EF2" w:rsidP="00DC6947">
      <w:pPr>
        <w:jc w:val="both"/>
        <w:rPr>
          <w:rFonts w:ascii="Arial" w:hAnsi="Arial" w:cs="Arial"/>
          <w:color w:val="201F1E"/>
          <w:sz w:val="20"/>
          <w:szCs w:val="20"/>
          <w:shd w:val="clear" w:color="auto" w:fill="FFFFFF"/>
        </w:rPr>
      </w:pPr>
    </w:p>
    <w:p w14:paraId="75027FE2" w14:textId="048BDEA6" w:rsidR="00AD3EF2" w:rsidRDefault="00AD3EF2" w:rsidP="00DC6947">
      <w:pPr>
        <w:jc w:val="both"/>
        <w:rPr>
          <w:color w:val="201F1E"/>
          <w:shd w:val="clear" w:color="auto" w:fill="FFFFFF"/>
        </w:rPr>
      </w:pPr>
      <w:r w:rsidRPr="00AD3EF2">
        <w:rPr>
          <w:color w:val="201F1E"/>
          <w:shd w:val="clear" w:color="auto" w:fill="FFFFFF"/>
        </w:rPr>
        <w:t>Peter Wells</w:t>
      </w:r>
      <w:r>
        <w:rPr>
          <w:color w:val="201F1E"/>
          <w:shd w:val="clear" w:color="auto" w:fill="FFFFFF"/>
        </w:rPr>
        <w:t xml:space="preserve">, </w:t>
      </w:r>
      <w:r w:rsidRPr="00AD3EF2">
        <w:rPr>
          <w:i/>
          <w:iCs/>
          <w:color w:val="201F1E"/>
          <w:shd w:val="clear" w:color="auto" w:fill="FFFFFF"/>
        </w:rPr>
        <w:t>The Battle that Stopped Rome</w:t>
      </w:r>
      <w:r>
        <w:rPr>
          <w:color w:val="201F1E"/>
          <w:shd w:val="clear" w:color="auto" w:fill="FFFFFF"/>
        </w:rPr>
        <w:t xml:space="preserve"> (2004) ISBN </w:t>
      </w:r>
      <w:r w:rsidRPr="00AD3EF2">
        <w:rPr>
          <w:color w:val="201F1E"/>
          <w:shd w:val="clear" w:color="auto" w:fill="FFFFFF"/>
        </w:rPr>
        <w:t>9780393326437</w:t>
      </w:r>
    </w:p>
    <w:p w14:paraId="6E7E947B" w14:textId="77777777" w:rsidR="00DC6947" w:rsidRDefault="00DC6947" w:rsidP="00DC6947">
      <w:pPr>
        <w:jc w:val="both"/>
      </w:pPr>
    </w:p>
    <w:p w14:paraId="0913228E" w14:textId="77777777" w:rsidR="00DC6947" w:rsidRPr="00BF2A17" w:rsidRDefault="00DC6947" w:rsidP="00DC6947">
      <w:pPr>
        <w:jc w:val="both"/>
      </w:pPr>
    </w:p>
    <w:p w14:paraId="3E215C68" w14:textId="77777777" w:rsidR="00DC6947" w:rsidRDefault="00DC6947" w:rsidP="00DC6947">
      <w:pPr>
        <w:pStyle w:val="Heading1"/>
      </w:pPr>
      <w:r>
        <w:t>Course schedule</w:t>
      </w:r>
    </w:p>
    <w:p w14:paraId="20E2CBD0" w14:textId="77777777" w:rsidR="00DC6947" w:rsidRDefault="00DC6947" w:rsidP="00DC69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6765"/>
      </w:tblGrid>
      <w:tr w:rsidR="00DC6947" w14:paraId="7656A2EB" w14:textId="77777777" w:rsidTr="0054665E">
        <w:tc>
          <w:tcPr>
            <w:tcW w:w="1865" w:type="dxa"/>
          </w:tcPr>
          <w:p w14:paraId="37B1AFB9" w14:textId="40EAFFB0" w:rsidR="00DC6947" w:rsidRDefault="00DC6947" w:rsidP="00B455DE">
            <w:pPr>
              <w:jc w:val="both"/>
            </w:pPr>
            <w:r>
              <w:t xml:space="preserve">Jan </w:t>
            </w:r>
            <w:r w:rsidR="0054665E">
              <w:t>07</w:t>
            </w:r>
          </w:p>
        </w:tc>
        <w:tc>
          <w:tcPr>
            <w:tcW w:w="6765" w:type="dxa"/>
          </w:tcPr>
          <w:p w14:paraId="36AF18C9" w14:textId="77777777" w:rsidR="00DC6947" w:rsidRDefault="00DC6947" w:rsidP="00B455DE">
            <w:pPr>
              <w:jc w:val="both"/>
            </w:pPr>
            <w:r>
              <w:t xml:space="preserve">Introduction </w:t>
            </w:r>
          </w:p>
        </w:tc>
      </w:tr>
      <w:tr w:rsidR="00DC6947" w14:paraId="0FEC4A43" w14:textId="77777777" w:rsidTr="0054665E">
        <w:tc>
          <w:tcPr>
            <w:tcW w:w="1865" w:type="dxa"/>
          </w:tcPr>
          <w:p w14:paraId="74B511A5" w14:textId="0127412B" w:rsidR="00DC6947" w:rsidRDefault="00DC6947" w:rsidP="00B455DE">
            <w:pPr>
              <w:jc w:val="both"/>
            </w:pPr>
            <w:r>
              <w:t>1</w:t>
            </w:r>
            <w:r w:rsidR="0054665E">
              <w:t>4</w:t>
            </w:r>
          </w:p>
        </w:tc>
        <w:tc>
          <w:tcPr>
            <w:tcW w:w="6765" w:type="dxa"/>
          </w:tcPr>
          <w:p w14:paraId="6172E5F1" w14:textId="07619BC1" w:rsidR="00DC6947" w:rsidRDefault="00346174" w:rsidP="00B455DE">
            <w:pPr>
              <w:jc w:val="both"/>
            </w:pPr>
            <w:r>
              <w:t>Wells</w:t>
            </w:r>
          </w:p>
        </w:tc>
      </w:tr>
      <w:tr w:rsidR="00DC6947" w14:paraId="7281C147" w14:textId="77777777" w:rsidTr="0054665E">
        <w:tc>
          <w:tcPr>
            <w:tcW w:w="1865" w:type="dxa"/>
          </w:tcPr>
          <w:p w14:paraId="76E99B8B" w14:textId="0A30C2B8" w:rsidR="00346174" w:rsidRDefault="00DC6947" w:rsidP="00B455DE">
            <w:pPr>
              <w:jc w:val="both"/>
            </w:pPr>
            <w:r>
              <w:t>2</w:t>
            </w:r>
            <w:r w:rsidR="0054665E">
              <w:t>1</w:t>
            </w:r>
          </w:p>
        </w:tc>
        <w:tc>
          <w:tcPr>
            <w:tcW w:w="6765" w:type="dxa"/>
          </w:tcPr>
          <w:p w14:paraId="7B010DF7" w14:textId="29634B10" w:rsidR="00DC6947" w:rsidRDefault="00346174" w:rsidP="00B455DE">
            <w:pPr>
              <w:jc w:val="both"/>
            </w:pPr>
            <w:r>
              <w:t>Keegan to end Chap. 3</w:t>
            </w:r>
          </w:p>
        </w:tc>
      </w:tr>
      <w:tr w:rsidR="00346174" w14:paraId="0773FDE4" w14:textId="77777777" w:rsidTr="0054665E">
        <w:tc>
          <w:tcPr>
            <w:tcW w:w="1865" w:type="dxa"/>
          </w:tcPr>
          <w:p w14:paraId="3BF4CCD1" w14:textId="304F5D1A" w:rsidR="00346174" w:rsidRDefault="00346174" w:rsidP="00B455DE">
            <w:pPr>
              <w:jc w:val="both"/>
            </w:pPr>
            <w:r>
              <w:t>28</w:t>
            </w:r>
          </w:p>
        </w:tc>
        <w:tc>
          <w:tcPr>
            <w:tcW w:w="6765" w:type="dxa"/>
          </w:tcPr>
          <w:p w14:paraId="3962340F" w14:textId="35FC43D5" w:rsidR="00346174" w:rsidRDefault="00346174" w:rsidP="00B455DE">
            <w:pPr>
              <w:jc w:val="both"/>
            </w:pPr>
            <w:r>
              <w:t>Keegan Chap.4 to end</w:t>
            </w:r>
          </w:p>
        </w:tc>
      </w:tr>
      <w:tr w:rsidR="00DC6947" w14:paraId="15329F06" w14:textId="77777777" w:rsidTr="0054665E">
        <w:tc>
          <w:tcPr>
            <w:tcW w:w="1865" w:type="dxa"/>
          </w:tcPr>
          <w:p w14:paraId="3EAA1C2F" w14:textId="640F3EB5" w:rsidR="00DC6947" w:rsidRDefault="0054665E" w:rsidP="00B455DE">
            <w:pPr>
              <w:jc w:val="both"/>
            </w:pPr>
            <w:r>
              <w:t xml:space="preserve">Feb </w:t>
            </w:r>
            <w:r w:rsidR="00DC6947">
              <w:t>0</w:t>
            </w:r>
            <w:r>
              <w:t>4</w:t>
            </w:r>
          </w:p>
        </w:tc>
        <w:tc>
          <w:tcPr>
            <w:tcW w:w="6765" w:type="dxa"/>
          </w:tcPr>
          <w:p w14:paraId="1F081C4E" w14:textId="53F48F39" w:rsidR="00DC6947" w:rsidRPr="00346174" w:rsidRDefault="00346174" w:rsidP="00B455DE">
            <w:pPr>
              <w:jc w:val="both"/>
            </w:pPr>
            <w:r>
              <w:t>Runciman</w:t>
            </w:r>
          </w:p>
        </w:tc>
      </w:tr>
      <w:tr w:rsidR="00DC6947" w14:paraId="267823D3" w14:textId="77777777" w:rsidTr="0054665E">
        <w:tc>
          <w:tcPr>
            <w:tcW w:w="1865" w:type="dxa"/>
          </w:tcPr>
          <w:p w14:paraId="520B75FB" w14:textId="7EFD069B" w:rsidR="00DC6947" w:rsidRDefault="00DC6947" w:rsidP="00B455DE">
            <w:pPr>
              <w:jc w:val="both"/>
            </w:pPr>
            <w:r>
              <w:t>1</w:t>
            </w:r>
            <w:r w:rsidR="0054665E">
              <w:t>1</w:t>
            </w:r>
          </w:p>
        </w:tc>
        <w:tc>
          <w:tcPr>
            <w:tcW w:w="6765" w:type="dxa"/>
          </w:tcPr>
          <w:p w14:paraId="1CB9FEFE" w14:textId="18C665D6" w:rsidR="00DC6947" w:rsidRPr="00486DC8" w:rsidRDefault="00346174" w:rsidP="00B455DE">
            <w:pPr>
              <w:jc w:val="both"/>
              <w:rPr>
                <w:iCs/>
              </w:rPr>
            </w:pPr>
            <w:r>
              <w:t>Projects and Historiography</w:t>
            </w:r>
          </w:p>
        </w:tc>
      </w:tr>
      <w:tr w:rsidR="00DC6947" w14:paraId="632072E9" w14:textId="77777777" w:rsidTr="0054665E">
        <w:tc>
          <w:tcPr>
            <w:tcW w:w="1865" w:type="dxa"/>
          </w:tcPr>
          <w:p w14:paraId="6A032F6A" w14:textId="6AB0CC11" w:rsidR="00DC6947" w:rsidRDefault="0054665E" w:rsidP="00B455DE">
            <w:pPr>
              <w:jc w:val="both"/>
            </w:pPr>
            <w:r>
              <w:t>18</w:t>
            </w:r>
          </w:p>
        </w:tc>
        <w:tc>
          <w:tcPr>
            <w:tcW w:w="6765" w:type="dxa"/>
          </w:tcPr>
          <w:p w14:paraId="173EE694" w14:textId="2939AA3D" w:rsidR="00DC6947" w:rsidRDefault="00346174" w:rsidP="00B455DE">
            <w:pPr>
              <w:jc w:val="both"/>
            </w:pPr>
            <w:r>
              <w:rPr>
                <w:iCs/>
              </w:rPr>
              <w:t>Horne</w:t>
            </w:r>
          </w:p>
        </w:tc>
      </w:tr>
      <w:tr w:rsidR="00DC6947" w14:paraId="566D31E5" w14:textId="77777777" w:rsidTr="0054665E">
        <w:tc>
          <w:tcPr>
            <w:tcW w:w="1865" w:type="dxa"/>
          </w:tcPr>
          <w:p w14:paraId="6EE548DB" w14:textId="6DD4D3B5" w:rsidR="00DC6947" w:rsidRDefault="0054665E" w:rsidP="00B455DE">
            <w:pPr>
              <w:jc w:val="both"/>
            </w:pPr>
            <w:r>
              <w:t>25</w:t>
            </w:r>
          </w:p>
        </w:tc>
        <w:tc>
          <w:tcPr>
            <w:tcW w:w="6765" w:type="dxa"/>
          </w:tcPr>
          <w:p w14:paraId="6D28EF32" w14:textId="53B37668" w:rsidR="00DC6947" w:rsidRDefault="0054665E" w:rsidP="00B455DE">
            <w:pPr>
              <w:jc w:val="both"/>
            </w:pPr>
            <w:r>
              <w:t>Spring Break</w:t>
            </w:r>
          </w:p>
        </w:tc>
      </w:tr>
      <w:tr w:rsidR="00DC6947" w14:paraId="6B6E172A" w14:textId="77777777" w:rsidTr="0054665E">
        <w:tc>
          <w:tcPr>
            <w:tcW w:w="1865" w:type="dxa"/>
          </w:tcPr>
          <w:p w14:paraId="36200B37" w14:textId="7B1B8CE1" w:rsidR="00DC6947" w:rsidRDefault="0054665E" w:rsidP="00B455DE">
            <w:pPr>
              <w:jc w:val="both"/>
            </w:pPr>
            <w:r>
              <w:t xml:space="preserve">Mar </w:t>
            </w:r>
            <w:r w:rsidR="00DC6947">
              <w:t>0</w:t>
            </w:r>
            <w:r>
              <w:t>3</w:t>
            </w:r>
          </w:p>
        </w:tc>
        <w:tc>
          <w:tcPr>
            <w:tcW w:w="6765" w:type="dxa"/>
          </w:tcPr>
          <w:p w14:paraId="065AFB79" w14:textId="2790EB9B" w:rsidR="00DC6947" w:rsidRDefault="00346174" w:rsidP="00B455DE">
            <w:pPr>
              <w:jc w:val="both"/>
            </w:pPr>
            <w:proofErr w:type="spellStart"/>
            <w:r>
              <w:t>Fussell</w:t>
            </w:r>
            <w:proofErr w:type="spellEnd"/>
          </w:p>
        </w:tc>
      </w:tr>
      <w:tr w:rsidR="00DC6947" w14:paraId="76CD5C88" w14:textId="77777777" w:rsidTr="0054665E">
        <w:tc>
          <w:tcPr>
            <w:tcW w:w="1865" w:type="dxa"/>
          </w:tcPr>
          <w:p w14:paraId="797B87A9" w14:textId="5E6CE991" w:rsidR="00DC6947" w:rsidRDefault="00DC6947" w:rsidP="00B455DE">
            <w:pPr>
              <w:jc w:val="both"/>
            </w:pPr>
            <w:bookmarkStart w:id="0" w:name="_GoBack"/>
            <w:r>
              <w:lastRenderedPageBreak/>
              <w:t>1</w:t>
            </w:r>
            <w:r w:rsidR="0054665E">
              <w:t>0</w:t>
            </w:r>
          </w:p>
        </w:tc>
        <w:tc>
          <w:tcPr>
            <w:tcW w:w="6765" w:type="dxa"/>
          </w:tcPr>
          <w:p w14:paraId="131063B2" w14:textId="12A743F1" w:rsidR="00DC6947" w:rsidRDefault="00346174" w:rsidP="00B455DE">
            <w:pPr>
              <w:jc w:val="both"/>
            </w:pPr>
            <w:r>
              <w:t>Lewis</w:t>
            </w:r>
          </w:p>
        </w:tc>
      </w:tr>
      <w:bookmarkEnd w:id="0"/>
      <w:tr w:rsidR="00DC6947" w14:paraId="046C5DA6" w14:textId="77777777" w:rsidTr="0054665E">
        <w:tc>
          <w:tcPr>
            <w:tcW w:w="1865" w:type="dxa"/>
          </w:tcPr>
          <w:p w14:paraId="3F63C870" w14:textId="4109C5DF" w:rsidR="00DC6947" w:rsidRDefault="0054665E" w:rsidP="00B455DE">
            <w:pPr>
              <w:jc w:val="both"/>
            </w:pPr>
            <w:r>
              <w:t>17</w:t>
            </w:r>
          </w:p>
        </w:tc>
        <w:tc>
          <w:tcPr>
            <w:tcW w:w="6765" w:type="dxa"/>
          </w:tcPr>
          <w:p w14:paraId="720D546A" w14:textId="5409B0ED" w:rsidR="00DC6947" w:rsidRDefault="00B907E1" w:rsidP="00B455DE">
            <w:pPr>
              <w:jc w:val="both"/>
            </w:pPr>
            <w:r>
              <w:t>No class</w:t>
            </w:r>
          </w:p>
        </w:tc>
      </w:tr>
      <w:tr w:rsidR="00DC6947" w14:paraId="1A065867" w14:textId="77777777" w:rsidTr="0054665E">
        <w:tc>
          <w:tcPr>
            <w:tcW w:w="1865" w:type="dxa"/>
          </w:tcPr>
          <w:p w14:paraId="4C515596" w14:textId="5ADB0C4E" w:rsidR="00DC6947" w:rsidRDefault="0054665E" w:rsidP="00B455DE">
            <w:pPr>
              <w:jc w:val="both"/>
            </w:pPr>
            <w:r>
              <w:t>24</w:t>
            </w:r>
          </w:p>
        </w:tc>
        <w:tc>
          <w:tcPr>
            <w:tcW w:w="6765" w:type="dxa"/>
          </w:tcPr>
          <w:p w14:paraId="674D42BE" w14:textId="12D5526F" w:rsidR="00DC6947" w:rsidRDefault="00B907E1" w:rsidP="00B455DE">
            <w:pPr>
              <w:jc w:val="both"/>
            </w:pPr>
            <w:proofErr w:type="spellStart"/>
            <w:r>
              <w:t>Overy</w:t>
            </w:r>
            <w:proofErr w:type="spellEnd"/>
          </w:p>
        </w:tc>
      </w:tr>
      <w:tr w:rsidR="00DC6947" w14:paraId="7668A324" w14:textId="77777777" w:rsidTr="0054665E">
        <w:tc>
          <w:tcPr>
            <w:tcW w:w="1865" w:type="dxa"/>
          </w:tcPr>
          <w:p w14:paraId="007A380C" w14:textId="6E83CD28" w:rsidR="00DC6947" w:rsidRDefault="0054665E" w:rsidP="00B455DE">
            <w:pPr>
              <w:jc w:val="both"/>
            </w:pPr>
            <w:r>
              <w:t>31</w:t>
            </w:r>
          </w:p>
        </w:tc>
        <w:tc>
          <w:tcPr>
            <w:tcW w:w="6765" w:type="dxa"/>
          </w:tcPr>
          <w:p w14:paraId="6BC4C28E" w14:textId="16C70D77" w:rsidR="00DC6947" w:rsidRDefault="00346174" w:rsidP="00B455DE">
            <w:pPr>
              <w:jc w:val="both"/>
            </w:pPr>
            <w:r>
              <w:t>Sledge</w:t>
            </w:r>
          </w:p>
        </w:tc>
      </w:tr>
      <w:tr w:rsidR="00DC6947" w14:paraId="408F44A6" w14:textId="77777777" w:rsidTr="0054665E">
        <w:tc>
          <w:tcPr>
            <w:tcW w:w="1865" w:type="dxa"/>
          </w:tcPr>
          <w:p w14:paraId="2747947D" w14:textId="2AE4E78C" w:rsidR="00DC6947" w:rsidRDefault="0054665E" w:rsidP="00B455DE">
            <w:pPr>
              <w:jc w:val="both"/>
            </w:pPr>
            <w:r>
              <w:t>Apr 07</w:t>
            </w:r>
          </w:p>
        </w:tc>
        <w:tc>
          <w:tcPr>
            <w:tcW w:w="6765" w:type="dxa"/>
          </w:tcPr>
          <w:p w14:paraId="0018555B" w14:textId="067277CC" w:rsidR="00DC6947" w:rsidRDefault="00346174" w:rsidP="00B455DE">
            <w:pPr>
              <w:jc w:val="both"/>
            </w:pPr>
            <w:r>
              <w:t>Presentations 1 (Book reviews due)</w:t>
            </w:r>
          </w:p>
        </w:tc>
      </w:tr>
      <w:tr w:rsidR="00DC6947" w14:paraId="717D5538" w14:textId="77777777" w:rsidTr="0054665E">
        <w:tc>
          <w:tcPr>
            <w:tcW w:w="1865" w:type="dxa"/>
          </w:tcPr>
          <w:p w14:paraId="53495DCF" w14:textId="73CEECF9" w:rsidR="00DC6947" w:rsidRDefault="0054665E" w:rsidP="00B455DE">
            <w:pPr>
              <w:jc w:val="both"/>
            </w:pPr>
            <w:r>
              <w:t>14</w:t>
            </w:r>
          </w:p>
        </w:tc>
        <w:tc>
          <w:tcPr>
            <w:tcW w:w="6765" w:type="dxa"/>
          </w:tcPr>
          <w:p w14:paraId="40A0BCF2" w14:textId="6F6294ED" w:rsidR="00DC6947" w:rsidRDefault="00346174" w:rsidP="00B455DE">
            <w:pPr>
              <w:jc w:val="both"/>
            </w:pPr>
            <w:r>
              <w:t>Presentations 2</w:t>
            </w:r>
          </w:p>
        </w:tc>
      </w:tr>
      <w:tr w:rsidR="00346174" w14:paraId="6B7AEE4E" w14:textId="77777777" w:rsidTr="0054665E">
        <w:tc>
          <w:tcPr>
            <w:tcW w:w="1865" w:type="dxa"/>
          </w:tcPr>
          <w:p w14:paraId="0E2E625E" w14:textId="51DC4BAE" w:rsidR="00346174" w:rsidRDefault="00346174" w:rsidP="00B455DE">
            <w:pPr>
              <w:jc w:val="both"/>
            </w:pPr>
            <w:r>
              <w:t>21</w:t>
            </w:r>
          </w:p>
        </w:tc>
        <w:tc>
          <w:tcPr>
            <w:tcW w:w="6765" w:type="dxa"/>
          </w:tcPr>
          <w:p w14:paraId="24805CF5" w14:textId="47F00F8F" w:rsidR="00346174" w:rsidRDefault="00346174" w:rsidP="00B455DE">
            <w:pPr>
              <w:jc w:val="both"/>
            </w:pPr>
            <w:r>
              <w:t>Presentations 3 (Paper submission deadline).</w:t>
            </w:r>
          </w:p>
        </w:tc>
      </w:tr>
    </w:tbl>
    <w:p w14:paraId="703B4638" w14:textId="77777777" w:rsidR="00DC6947" w:rsidRDefault="00DC6947" w:rsidP="00DC6947">
      <w:pPr>
        <w:jc w:val="both"/>
      </w:pPr>
      <w:r>
        <w:t xml:space="preserve"> </w:t>
      </w:r>
    </w:p>
    <w:p w14:paraId="2D01BC5E" w14:textId="77777777" w:rsidR="00DC6947" w:rsidRDefault="00DC6947" w:rsidP="00DC69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880"/>
      </w:tblGrid>
      <w:tr w:rsidR="00DC6947" w14:paraId="55C0A907" w14:textId="77777777" w:rsidTr="00B455DE">
        <w:trPr>
          <w:cantSplit/>
        </w:trPr>
        <w:tc>
          <w:tcPr>
            <w:tcW w:w="3708" w:type="dxa"/>
            <w:gridSpan w:val="2"/>
          </w:tcPr>
          <w:p w14:paraId="36A43CE3" w14:textId="77777777" w:rsidR="00DC6947" w:rsidRDefault="00DC6947" w:rsidP="00B455DE">
            <w:r>
              <w:t>Grade Scale applicable to course</w:t>
            </w:r>
          </w:p>
        </w:tc>
      </w:tr>
      <w:tr w:rsidR="00DC6947" w14:paraId="56362BAD" w14:textId="77777777" w:rsidTr="00B455DE">
        <w:tc>
          <w:tcPr>
            <w:tcW w:w="828" w:type="dxa"/>
          </w:tcPr>
          <w:p w14:paraId="5B216634" w14:textId="77777777" w:rsidR="00DC6947" w:rsidRDefault="00DC6947" w:rsidP="00B455DE">
            <w:pPr>
              <w:pStyle w:val="Heading1"/>
            </w:pPr>
            <w:r>
              <w:t>A</w:t>
            </w:r>
          </w:p>
        </w:tc>
        <w:tc>
          <w:tcPr>
            <w:tcW w:w="2880" w:type="dxa"/>
          </w:tcPr>
          <w:p w14:paraId="2B5AD1FA" w14:textId="77777777" w:rsidR="00DC6947" w:rsidRDefault="00DC6947" w:rsidP="00B455DE">
            <w:r>
              <w:t>85</w:t>
            </w:r>
          </w:p>
        </w:tc>
      </w:tr>
      <w:tr w:rsidR="00DC6947" w14:paraId="0C284751" w14:textId="77777777" w:rsidTr="00B455DE">
        <w:tc>
          <w:tcPr>
            <w:tcW w:w="828" w:type="dxa"/>
          </w:tcPr>
          <w:p w14:paraId="77366D1A" w14:textId="77777777" w:rsidR="00DC6947" w:rsidRDefault="00DC6947" w:rsidP="00B455DE">
            <w:pPr>
              <w:pStyle w:val="Heading1"/>
            </w:pPr>
            <w:r>
              <w:t>A-</w:t>
            </w:r>
          </w:p>
        </w:tc>
        <w:tc>
          <w:tcPr>
            <w:tcW w:w="2880" w:type="dxa"/>
          </w:tcPr>
          <w:p w14:paraId="7E0475CD" w14:textId="77777777" w:rsidR="00DC6947" w:rsidRDefault="00DC6947" w:rsidP="00B455DE">
            <w:r>
              <w:t>80</w:t>
            </w:r>
          </w:p>
        </w:tc>
      </w:tr>
      <w:tr w:rsidR="00DC6947" w14:paraId="6C23F2C6" w14:textId="77777777" w:rsidTr="00B455DE">
        <w:tc>
          <w:tcPr>
            <w:tcW w:w="828" w:type="dxa"/>
          </w:tcPr>
          <w:p w14:paraId="00449C10" w14:textId="77777777" w:rsidR="00DC6947" w:rsidRDefault="00DC6947" w:rsidP="00B455DE">
            <w:pPr>
              <w:pStyle w:val="Heading1"/>
            </w:pPr>
            <w:r>
              <w:t>B+</w:t>
            </w:r>
          </w:p>
        </w:tc>
        <w:tc>
          <w:tcPr>
            <w:tcW w:w="2880" w:type="dxa"/>
          </w:tcPr>
          <w:p w14:paraId="6323B6AD" w14:textId="77777777" w:rsidR="00DC6947" w:rsidRDefault="00DC6947" w:rsidP="00B455DE">
            <w:r>
              <w:t>75</w:t>
            </w:r>
          </w:p>
        </w:tc>
      </w:tr>
      <w:tr w:rsidR="00DC6947" w14:paraId="5B7A43E8" w14:textId="77777777" w:rsidTr="00B455DE">
        <w:tc>
          <w:tcPr>
            <w:tcW w:w="828" w:type="dxa"/>
          </w:tcPr>
          <w:p w14:paraId="3A257BAF" w14:textId="77777777" w:rsidR="00DC6947" w:rsidRDefault="00DC6947" w:rsidP="00B455DE">
            <w:pPr>
              <w:pStyle w:val="Heading1"/>
            </w:pPr>
            <w:r>
              <w:t>B</w:t>
            </w:r>
          </w:p>
        </w:tc>
        <w:tc>
          <w:tcPr>
            <w:tcW w:w="2880" w:type="dxa"/>
          </w:tcPr>
          <w:p w14:paraId="4B06B5D3" w14:textId="77777777" w:rsidR="00DC6947" w:rsidRDefault="00DC6947" w:rsidP="00B455DE">
            <w:r>
              <w:t>70</w:t>
            </w:r>
          </w:p>
        </w:tc>
      </w:tr>
      <w:tr w:rsidR="00DC6947" w14:paraId="31C4573F" w14:textId="77777777" w:rsidTr="00B455DE">
        <w:tc>
          <w:tcPr>
            <w:tcW w:w="828" w:type="dxa"/>
          </w:tcPr>
          <w:p w14:paraId="7C8BF677" w14:textId="77777777" w:rsidR="00DC6947" w:rsidRDefault="00DC6947" w:rsidP="00B455DE">
            <w:pPr>
              <w:pStyle w:val="Heading1"/>
            </w:pPr>
            <w:r>
              <w:t>B-</w:t>
            </w:r>
          </w:p>
        </w:tc>
        <w:tc>
          <w:tcPr>
            <w:tcW w:w="2880" w:type="dxa"/>
          </w:tcPr>
          <w:p w14:paraId="207B359C" w14:textId="77777777" w:rsidR="00DC6947" w:rsidRDefault="00DC6947" w:rsidP="00B455DE">
            <w:r>
              <w:t>66</w:t>
            </w:r>
          </w:p>
        </w:tc>
      </w:tr>
      <w:tr w:rsidR="00DC6947" w14:paraId="04335B06" w14:textId="77777777" w:rsidTr="00B455DE">
        <w:tc>
          <w:tcPr>
            <w:tcW w:w="828" w:type="dxa"/>
          </w:tcPr>
          <w:p w14:paraId="5453E0DB" w14:textId="77777777" w:rsidR="00DC6947" w:rsidRDefault="00DC6947" w:rsidP="00B455DE">
            <w:pPr>
              <w:pStyle w:val="Heading1"/>
            </w:pPr>
            <w:r>
              <w:t>C+</w:t>
            </w:r>
          </w:p>
        </w:tc>
        <w:tc>
          <w:tcPr>
            <w:tcW w:w="2880" w:type="dxa"/>
          </w:tcPr>
          <w:p w14:paraId="30E60AA6" w14:textId="77777777" w:rsidR="00DC6947" w:rsidRDefault="00DC6947" w:rsidP="00B455DE">
            <w:r>
              <w:t>62</w:t>
            </w:r>
          </w:p>
        </w:tc>
      </w:tr>
      <w:tr w:rsidR="00DC6947" w14:paraId="08313D49" w14:textId="77777777" w:rsidTr="00B455DE">
        <w:tc>
          <w:tcPr>
            <w:tcW w:w="828" w:type="dxa"/>
          </w:tcPr>
          <w:p w14:paraId="4137AB0E" w14:textId="77777777" w:rsidR="00DC6947" w:rsidRDefault="00DC6947" w:rsidP="00B455DE">
            <w:pPr>
              <w:pStyle w:val="Heading1"/>
            </w:pPr>
            <w:r>
              <w:t>C</w:t>
            </w:r>
          </w:p>
        </w:tc>
        <w:tc>
          <w:tcPr>
            <w:tcW w:w="2880" w:type="dxa"/>
          </w:tcPr>
          <w:p w14:paraId="0FAA0291" w14:textId="77777777" w:rsidR="00DC6947" w:rsidRDefault="00DC6947" w:rsidP="00B455DE">
            <w:r>
              <w:t>57</w:t>
            </w:r>
          </w:p>
        </w:tc>
      </w:tr>
      <w:tr w:rsidR="00DC6947" w14:paraId="74B6D58A" w14:textId="77777777" w:rsidTr="00B455DE">
        <w:tc>
          <w:tcPr>
            <w:tcW w:w="828" w:type="dxa"/>
          </w:tcPr>
          <w:p w14:paraId="6408CD5E" w14:textId="77777777" w:rsidR="00DC6947" w:rsidRDefault="00DC6947" w:rsidP="00B455DE">
            <w:pPr>
              <w:pStyle w:val="Heading1"/>
            </w:pPr>
            <w:r>
              <w:t>D</w:t>
            </w:r>
          </w:p>
        </w:tc>
        <w:tc>
          <w:tcPr>
            <w:tcW w:w="2880" w:type="dxa"/>
          </w:tcPr>
          <w:p w14:paraId="40BB83AA" w14:textId="77777777" w:rsidR="00DC6947" w:rsidRDefault="00DC6947" w:rsidP="00B455DE">
            <w:r>
              <w:t>40</w:t>
            </w:r>
          </w:p>
        </w:tc>
      </w:tr>
      <w:tr w:rsidR="00DC6947" w14:paraId="6E612F7B" w14:textId="77777777" w:rsidTr="00B455DE">
        <w:tc>
          <w:tcPr>
            <w:tcW w:w="828" w:type="dxa"/>
          </w:tcPr>
          <w:p w14:paraId="252B0599" w14:textId="77777777" w:rsidR="00DC6947" w:rsidRDefault="00DC6947" w:rsidP="00B455DE">
            <w:pPr>
              <w:pStyle w:val="Heading1"/>
            </w:pPr>
            <w:r>
              <w:t>F</w:t>
            </w:r>
          </w:p>
        </w:tc>
        <w:tc>
          <w:tcPr>
            <w:tcW w:w="2880" w:type="dxa"/>
          </w:tcPr>
          <w:p w14:paraId="7E8278CC" w14:textId="77777777" w:rsidR="00DC6947" w:rsidRDefault="00DC6947" w:rsidP="00B455DE">
            <w:r>
              <w:t>Below 40</w:t>
            </w:r>
          </w:p>
        </w:tc>
      </w:tr>
    </w:tbl>
    <w:p w14:paraId="216767D0" w14:textId="77777777" w:rsidR="00DC6947" w:rsidRDefault="00DC6947" w:rsidP="00DC6947">
      <w:pPr>
        <w:jc w:val="both"/>
      </w:pPr>
    </w:p>
    <w:p w14:paraId="17066038" w14:textId="77777777" w:rsidR="00DC6947" w:rsidRDefault="00DC6947" w:rsidP="00DC6947">
      <w:pPr>
        <w:pStyle w:val="BodyText"/>
      </w:pPr>
    </w:p>
    <w:p w14:paraId="6AA60D06" w14:textId="77777777" w:rsidR="00DC6947" w:rsidRDefault="00DC6947" w:rsidP="00DC6947">
      <w:pPr>
        <w:pStyle w:val="BodyText"/>
        <w:ind w:left="360"/>
      </w:pPr>
    </w:p>
    <w:p w14:paraId="7F4E805C" w14:textId="77777777" w:rsidR="00DC6947" w:rsidRDefault="00DC6947" w:rsidP="00DC6947">
      <w:pPr>
        <w:jc w:val="center"/>
        <w:rPr>
          <w:b/>
          <w:bCs/>
        </w:rPr>
      </w:pPr>
    </w:p>
    <w:p w14:paraId="019F39D2" w14:textId="77777777" w:rsidR="00DC6947" w:rsidRDefault="00DC6947" w:rsidP="00DC6947"/>
    <w:p w14:paraId="06EC7948" w14:textId="77777777" w:rsidR="002417E4" w:rsidRDefault="002417E4"/>
    <w:sectPr w:rsidR="00241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47"/>
    <w:rsid w:val="00052C67"/>
    <w:rsid w:val="002417E4"/>
    <w:rsid w:val="00346174"/>
    <w:rsid w:val="0035509B"/>
    <w:rsid w:val="00515085"/>
    <w:rsid w:val="0054665E"/>
    <w:rsid w:val="007364CE"/>
    <w:rsid w:val="007C0060"/>
    <w:rsid w:val="00AD3EF2"/>
    <w:rsid w:val="00B907E1"/>
    <w:rsid w:val="00DC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B343"/>
  <w15:chartTrackingRefBased/>
  <w15:docId w15:val="{887B625B-FB77-40F5-B2C1-6A3FE85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947"/>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947"/>
    <w:rPr>
      <w:rFonts w:ascii="Times New Roman" w:eastAsia="Times New Roman" w:hAnsi="Times New Roman" w:cs="Times New Roman"/>
      <w:b/>
      <w:bCs/>
      <w:sz w:val="24"/>
      <w:szCs w:val="24"/>
    </w:rPr>
  </w:style>
  <w:style w:type="paragraph" w:styleId="Title">
    <w:name w:val="Title"/>
    <w:basedOn w:val="Normal"/>
    <w:link w:val="TitleChar"/>
    <w:qFormat/>
    <w:rsid w:val="00DC6947"/>
    <w:pPr>
      <w:jc w:val="center"/>
    </w:pPr>
    <w:rPr>
      <w:b/>
      <w:bCs/>
    </w:rPr>
  </w:style>
  <w:style w:type="character" w:customStyle="1" w:styleId="TitleChar">
    <w:name w:val="Title Char"/>
    <w:basedOn w:val="DefaultParagraphFont"/>
    <w:link w:val="Title"/>
    <w:rsid w:val="00DC6947"/>
    <w:rPr>
      <w:rFonts w:ascii="Times New Roman" w:eastAsia="Times New Roman" w:hAnsi="Times New Roman" w:cs="Times New Roman"/>
      <w:b/>
      <w:bCs/>
      <w:sz w:val="24"/>
      <w:szCs w:val="24"/>
    </w:rPr>
  </w:style>
  <w:style w:type="paragraph" w:styleId="BodyText">
    <w:name w:val="Body Text"/>
    <w:basedOn w:val="Normal"/>
    <w:link w:val="BodyTextChar"/>
    <w:rsid w:val="00DC6947"/>
    <w:pPr>
      <w:overflowPunct w:val="0"/>
      <w:autoSpaceDE w:val="0"/>
      <w:autoSpaceDN w:val="0"/>
      <w:adjustRightInd w:val="0"/>
      <w:jc w:val="both"/>
      <w:textAlignment w:val="baseline"/>
    </w:pPr>
    <w:rPr>
      <w:szCs w:val="20"/>
      <w:lang w:val="en-GB"/>
    </w:rPr>
  </w:style>
  <w:style w:type="character" w:customStyle="1" w:styleId="BodyTextChar">
    <w:name w:val="Body Text Char"/>
    <w:basedOn w:val="DefaultParagraphFont"/>
    <w:link w:val="BodyText"/>
    <w:rsid w:val="00DC694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Davies</dc:creator>
  <cp:keywords/>
  <dc:description/>
  <cp:lastModifiedBy>Gwyn Davies</cp:lastModifiedBy>
  <cp:revision>3</cp:revision>
  <dcterms:created xsi:type="dcterms:W3CDTF">2020-01-03T18:47:00Z</dcterms:created>
  <dcterms:modified xsi:type="dcterms:W3CDTF">2020-01-14T18:44:00Z</dcterms:modified>
</cp:coreProperties>
</file>